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27DC" w14:textId="77777777" w:rsidR="007112E0" w:rsidRPr="007112E0" w:rsidRDefault="007112E0" w:rsidP="007112E0">
      <w:pPr>
        <w:jc w:val="center"/>
        <w:rPr>
          <w:rFonts w:ascii="Century Gothic" w:hAnsi="Century Gothic" w:cs="Calibri"/>
          <w:b/>
        </w:rPr>
      </w:pPr>
      <w:r w:rsidRPr="007112E0">
        <w:rPr>
          <w:rFonts w:ascii="Century Gothic" w:hAnsi="Century Gothic" w:cs="Calibri"/>
          <w:b/>
        </w:rPr>
        <w:t>Cost of Contract Administration</w:t>
      </w:r>
      <w:bookmarkStart w:id="0" w:name="_GoBack"/>
      <w:bookmarkEnd w:id="0"/>
    </w:p>
    <w:p w14:paraId="7691FEC8" w14:textId="77777777" w:rsidR="007112E0" w:rsidRPr="007112E0" w:rsidRDefault="007112E0" w:rsidP="007112E0">
      <w:pPr>
        <w:rPr>
          <w:rFonts w:ascii="Century Gothic" w:hAnsi="Century Gothic" w:cs="Calibri"/>
        </w:rPr>
      </w:pPr>
      <w:r w:rsidRPr="007112E0">
        <w:rPr>
          <w:rFonts w:ascii="Century Gothic" w:hAnsi="Century Gothic" w:cs="Calibri"/>
        </w:rPr>
        <w:t xml:space="preserve">As a Commissioned Contract Holder, Cardiff and Vale College (CAVC) is responsible for ensuring that all learners accessing apprenticeship funding receive a consistently high standard of training and learner experience.  CAVC delivers its contract through a combination of in-house delivery and subcontracted provision delivered by partner </w:t>
      </w:r>
      <w:proofErr w:type="spellStart"/>
      <w:r w:rsidRPr="007112E0">
        <w:rPr>
          <w:rFonts w:ascii="Century Gothic" w:hAnsi="Century Gothic" w:cs="Calibri"/>
        </w:rPr>
        <w:t>organisations</w:t>
      </w:r>
      <w:proofErr w:type="spellEnd"/>
      <w:r w:rsidRPr="007112E0">
        <w:rPr>
          <w:rFonts w:ascii="Century Gothic" w:hAnsi="Century Gothic" w:cs="Calibri"/>
        </w:rPr>
        <w:t xml:space="preserve">. </w:t>
      </w:r>
    </w:p>
    <w:p w14:paraId="59E83305" w14:textId="77777777" w:rsidR="007112E0" w:rsidRPr="007112E0" w:rsidRDefault="007112E0" w:rsidP="007112E0">
      <w:pPr>
        <w:rPr>
          <w:rFonts w:ascii="Century Gothic" w:hAnsi="Century Gothic" w:cs="Calibri"/>
        </w:rPr>
      </w:pPr>
      <w:r w:rsidRPr="007112E0">
        <w:rPr>
          <w:rFonts w:ascii="Century Gothic" w:hAnsi="Century Gothic" w:cs="Calibri"/>
        </w:rPr>
        <w:t>Prior to entering into a subcontracting arrangement with a delivery partner, CAVC undertakes a comprehensive due diligence exercise including, but not limited to, the following areas:</w:t>
      </w:r>
    </w:p>
    <w:p w14:paraId="3BFA241A" w14:textId="77777777" w:rsidR="007112E0" w:rsidRPr="007112E0" w:rsidRDefault="007112E0" w:rsidP="007112E0">
      <w:pPr>
        <w:pStyle w:val="ListParagraph"/>
        <w:numPr>
          <w:ilvl w:val="0"/>
          <w:numId w:val="1"/>
        </w:numPr>
        <w:jc w:val="both"/>
        <w:rPr>
          <w:rFonts w:ascii="Century Gothic" w:hAnsi="Century Gothic" w:cs="Calibri"/>
        </w:rPr>
      </w:pPr>
      <w:r w:rsidRPr="007112E0">
        <w:rPr>
          <w:rFonts w:ascii="Century Gothic" w:hAnsi="Century Gothic" w:cs="Calibri"/>
        </w:rPr>
        <w:t>Financial position</w:t>
      </w:r>
    </w:p>
    <w:p w14:paraId="0647D8C2" w14:textId="77777777" w:rsidR="007112E0" w:rsidRPr="007112E0" w:rsidRDefault="007112E0" w:rsidP="007112E0">
      <w:pPr>
        <w:pStyle w:val="ListParagraph"/>
        <w:numPr>
          <w:ilvl w:val="0"/>
          <w:numId w:val="1"/>
        </w:numPr>
        <w:jc w:val="both"/>
        <w:rPr>
          <w:rFonts w:ascii="Century Gothic" w:hAnsi="Century Gothic" w:cs="Calibri"/>
        </w:rPr>
      </w:pPr>
      <w:r w:rsidRPr="007112E0">
        <w:rPr>
          <w:rFonts w:ascii="Century Gothic" w:hAnsi="Century Gothic" w:cs="Calibri"/>
        </w:rPr>
        <w:t>Staffing/capability</w:t>
      </w:r>
    </w:p>
    <w:p w14:paraId="0D533FC1" w14:textId="77777777" w:rsidR="007112E0" w:rsidRPr="007112E0" w:rsidRDefault="007112E0" w:rsidP="007112E0">
      <w:pPr>
        <w:pStyle w:val="ListParagraph"/>
        <w:numPr>
          <w:ilvl w:val="0"/>
          <w:numId w:val="1"/>
        </w:numPr>
        <w:jc w:val="both"/>
        <w:rPr>
          <w:rFonts w:ascii="Century Gothic" w:hAnsi="Century Gothic" w:cs="Calibri"/>
        </w:rPr>
      </w:pPr>
      <w:r w:rsidRPr="007112E0">
        <w:rPr>
          <w:rFonts w:ascii="Century Gothic" w:hAnsi="Century Gothic" w:cs="Calibri"/>
        </w:rPr>
        <w:t>EWC registrations</w:t>
      </w:r>
    </w:p>
    <w:p w14:paraId="4DC18835" w14:textId="77777777" w:rsidR="007112E0" w:rsidRPr="007112E0" w:rsidRDefault="007112E0" w:rsidP="007112E0">
      <w:pPr>
        <w:pStyle w:val="ListParagraph"/>
        <w:numPr>
          <w:ilvl w:val="0"/>
          <w:numId w:val="1"/>
        </w:numPr>
        <w:jc w:val="both"/>
        <w:rPr>
          <w:rFonts w:ascii="Century Gothic" w:hAnsi="Century Gothic" w:cs="Calibri"/>
        </w:rPr>
      </w:pPr>
      <w:r w:rsidRPr="007112E0">
        <w:rPr>
          <w:rFonts w:ascii="Century Gothic" w:hAnsi="Century Gothic" w:cs="Calibri"/>
        </w:rPr>
        <w:t>Policies and procedures</w:t>
      </w:r>
    </w:p>
    <w:p w14:paraId="149342D5" w14:textId="77777777" w:rsidR="007112E0" w:rsidRPr="007112E0" w:rsidRDefault="007112E0" w:rsidP="007112E0">
      <w:pPr>
        <w:pStyle w:val="ListParagraph"/>
        <w:numPr>
          <w:ilvl w:val="0"/>
          <w:numId w:val="1"/>
        </w:numPr>
        <w:jc w:val="both"/>
        <w:rPr>
          <w:rFonts w:ascii="Century Gothic" w:hAnsi="Century Gothic" w:cs="Calibri"/>
        </w:rPr>
      </w:pPr>
      <w:r w:rsidRPr="007112E0">
        <w:rPr>
          <w:rFonts w:ascii="Century Gothic" w:hAnsi="Century Gothic" w:cs="Calibri"/>
        </w:rPr>
        <w:t>Compliance (Health and Safety, Data Protection and Information Security)</w:t>
      </w:r>
    </w:p>
    <w:p w14:paraId="7077963B" w14:textId="77777777" w:rsidR="007112E0" w:rsidRPr="007112E0" w:rsidRDefault="007112E0" w:rsidP="007112E0">
      <w:pPr>
        <w:pStyle w:val="ListParagraph"/>
        <w:numPr>
          <w:ilvl w:val="0"/>
          <w:numId w:val="1"/>
        </w:numPr>
        <w:jc w:val="both"/>
        <w:rPr>
          <w:rFonts w:ascii="Century Gothic" w:hAnsi="Century Gothic" w:cs="Calibri"/>
        </w:rPr>
      </w:pPr>
      <w:r w:rsidRPr="007112E0">
        <w:rPr>
          <w:rFonts w:ascii="Century Gothic" w:hAnsi="Century Gothic" w:cs="Calibri"/>
        </w:rPr>
        <w:t>Quality cycle</w:t>
      </w:r>
    </w:p>
    <w:p w14:paraId="36CB3FC2" w14:textId="77777777" w:rsidR="007112E0" w:rsidRPr="007112E0" w:rsidRDefault="007112E0" w:rsidP="007112E0">
      <w:pPr>
        <w:pStyle w:val="ListParagraph"/>
        <w:numPr>
          <w:ilvl w:val="0"/>
          <w:numId w:val="1"/>
        </w:numPr>
        <w:jc w:val="both"/>
        <w:rPr>
          <w:rFonts w:ascii="Century Gothic" w:hAnsi="Century Gothic" w:cs="Calibri"/>
        </w:rPr>
      </w:pPr>
      <w:r w:rsidRPr="007112E0">
        <w:rPr>
          <w:rFonts w:ascii="Century Gothic" w:hAnsi="Century Gothic" w:cs="Calibri"/>
        </w:rPr>
        <w:t>Safeguarding and Prevent</w:t>
      </w:r>
    </w:p>
    <w:p w14:paraId="2E59C5BA" w14:textId="77777777" w:rsidR="007112E0" w:rsidRPr="007112E0" w:rsidRDefault="007112E0" w:rsidP="007112E0">
      <w:pPr>
        <w:pStyle w:val="ListParagraph"/>
        <w:numPr>
          <w:ilvl w:val="0"/>
          <w:numId w:val="1"/>
        </w:numPr>
        <w:jc w:val="both"/>
        <w:rPr>
          <w:rFonts w:ascii="Century Gothic" w:hAnsi="Century Gothic" w:cs="Calibri"/>
        </w:rPr>
      </w:pPr>
      <w:r w:rsidRPr="007112E0">
        <w:rPr>
          <w:rFonts w:ascii="Century Gothic" w:hAnsi="Century Gothic" w:cs="Calibri"/>
        </w:rPr>
        <w:t>Performance (Latest LOR if available)</w:t>
      </w:r>
    </w:p>
    <w:p w14:paraId="450338A7" w14:textId="77777777" w:rsidR="007112E0" w:rsidRPr="007112E0" w:rsidRDefault="007112E0" w:rsidP="007112E0">
      <w:pPr>
        <w:pStyle w:val="ListParagraph"/>
        <w:numPr>
          <w:ilvl w:val="0"/>
          <w:numId w:val="1"/>
        </w:numPr>
        <w:jc w:val="both"/>
        <w:rPr>
          <w:rFonts w:ascii="Century Gothic" w:hAnsi="Century Gothic" w:cs="Calibri"/>
        </w:rPr>
      </w:pPr>
      <w:r w:rsidRPr="007112E0">
        <w:rPr>
          <w:rFonts w:ascii="Century Gothic" w:hAnsi="Century Gothic" w:cs="Calibri"/>
        </w:rPr>
        <w:t>Leadership and management</w:t>
      </w:r>
    </w:p>
    <w:p w14:paraId="27A12E78" w14:textId="77777777" w:rsidR="007112E0" w:rsidRPr="007112E0" w:rsidRDefault="007112E0" w:rsidP="007112E0">
      <w:pPr>
        <w:pStyle w:val="ListParagraph"/>
        <w:numPr>
          <w:ilvl w:val="0"/>
          <w:numId w:val="1"/>
        </w:numPr>
        <w:jc w:val="both"/>
        <w:rPr>
          <w:rFonts w:ascii="Century Gothic" w:hAnsi="Century Gothic" w:cs="Calibri"/>
        </w:rPr>
      </w:pPr>
      <w:r w:rsidRPr="007112E0">
        <w:rPr>
          <w:rFonts w:ascii="Century Gothic" w:hAnsi="Century Gothic" w:cs="Calibri"/>
        </w:rPr>
        <w:t>Wellbeing, care support and guidance</w:t>
      </w:r>
    </w:p>
    <w:p w14:paraId="6D80763A" w14:textId="77777777" w:rsidR="007112E0" w:rsidRPr="007112E0" w:rsidRDefault="007112E0" w:rsidP="007112E0">
      <w:pPr>
        <w:pStyle w:val="ListParagraph"/>
        <w:numPr>
          <w:ilvl w:val="0"/>
          <w:numId w:val="1"/>
        </w:numPr>
        <w:jc w:val="both"/>
        <w:rPr>
          <w:rFonts w:ascii="Century Gothic" w:hAnsi="Century Gothic" w:cs="Calibri"/>
        </w:rPr>
      </w:pPr>
      <w:r w:rsidRPr="007112E0">
        <w:rPr>
          <w:rFonts w:ascii="Century Gothic" w:hAnsi="Century Gothic" w:cs="Calibri"/>
        </w:rPr>
        <w:t>Welsh Language Policy</w:t>
      </w:r>
    </w:p>
    <w:p w14:paraId="74447798" w14:textId="77777777" w:rsidR="007112E0" w:rsidRPr="007112E0" w:rsidRDefault="007112E0" w:rsidP="007112E0">
      <w:pPr>
        <w:pStyle w:val="ListParagraph"/>
        <w:ind w:left="788"/>
        <w:jc w:val="both"/>
        <w:rPr>
          <w:rFonts w:ascii="Century Gothic" w:hAnsi="Century Gothic" w:cs="Calibri"/>
        </w:rPr>
      </w:pPr>
    </w:p>
    <w:p w14:paraId="01ACEB0C" w14:textId="77777777" w:rsidR="007112E0" w:rsidRPr="007112E0" w:rsidRDefault="007112E0" w:rsidP="007112E0">
      <w:pPr>
        <w:rPr>
          <w:rFonts w:ascii="Century Gothic" w:hAnsi="Century Gothic" w:cs="Calibri"/>
        </w:rPr>
      </w:pPr>
      <w:r w:rsidRPr="007112E0">
        <w:rPr>
          <w:rFonts w:ascii="Century Gothic" w:hAnsi="Century Gothic" w:cs="Calibri"/>
        </w:rPr>
        <w:t>Any required actions arising from the due diligence exercise must be completed before delivery begins or within a specified and agreed timescale.  Periodic (normally annual) due diligence update checks will take place for all subcontractors.</w:t>
      </w:r>
    </w:p>
    <w:p w14:paraId="61C1E354" w14:textId="77777777" w:rsidR="007112E0" w:rsidRPr="007112E0" w:rsidRDefault="007112E0" w:rsidP="007112E0">
      <w:pPr>
        <w:rPr>
          <w:rFonts w:ascii="Century Gothic" w:hAnsi="Century Gothic" w:cs="Calibri"/>
        </w:rPr>
      </w:pPr>
      <w:r w:rsidRPr="007112E0">
        <w:rPr>
          <w:rFonts w:ascii="Century Gothic" w:hAnsi="Century Gothic" w:cs="Calibri"/>
        </w:rPr>
        <w:t>Payments to subcontractors will be made monthly, less an amount deducted by CAVC as a contribution to the cost of contract administration activities undertaken by CAVC as Commissioned Contract Holder.</w:t>
      </w:r>
    </w:p>
    <w:p w14:paraId="663B01A8" w14:textId="77777777" w:rsidR="007112E0" w:rsidRPr="007112E0" w:rsidRDefault="007112E0" w:rsidP="007112E0">
      <w:pPr>
        <w:rPr>
          <w:rFonts w:ascii="Century Gothic" w:hAnsi="Century Gothic" w:cs="Calibri"/>
        </w:rPr>
      </w:pPr>
      <w:r w:rsidRPr="007112E0">
        <w:rPr>
          <w:rFonts w:ascii="Century Gothic" w:hAnsi="Century Gothic" w:cs="Calibri"/>
        </w:rPr>
        <w:t xml:space="preserve">The amount deducted will contribute to the cost of contract administration by CAVC, and will vary between subcontractors to reflect the expected level of support and intervention by CAVC for individual subcontractors, taking into consideration an assessment of risk informed by past experience (where applicable) and the due diligence process. </w:t>
      </w:r>
    </w:p>
    <w:p w14:paraId="00BB6958" w14:textId="77777777" w:rsidR="007112E0" w:rsidRPr="007112E0" w:rsidRDefault="007112E0" w:rsidP="007112E0">
      <w:pPr>
        <w:rPr>
          <w:rFonts w:ascii="Century Gothic" w:hAnsi="Century Gothic" w:cs="Calibri"/>
        </w:rPr>
      </w:pPr>
      <w:r w:rsidRPr="007112E0">
        <w:rPr>
          <w:rFonts w:ascii="Century Gothic" w:hAnsi="Century Gothic" w:cs="Calibri"/>
        </w:rPr>
        <w:t xml:space="preserve">CAVC has a responsibility to support and monitor delivery partners to sustain high quality provision that meets the needs of learners.  Activities undertaken by CAVC in this regard include: </w:t>
      </w:r>
    </w:p>
    <w:p w14:paraId="30C50A3E" w14:textId="77777777" w:rsidR="007112E0" w:rsidRPr="007112E0" w:rsidRDefault="007112E0" w:rsidP="007112E0">
      <w:pPr>
        <w:pStyle w:val="ListParagraph"/>
        <w:numPr>
          <w:ilvl w:val="0"/>
          <w:numId w:val="2"/>
        </w:numPr>
        <w:jc w:val="both"/>
        <w:rPr>
          <w:rFonts w:ascii="Century Gothic" w:hAnsi="Century Gothic" w:cs="Calibri"/>
        </w:rPr>
      </w:pPr>
      <w:r w:rsidRPr="007112E0">
        <w:rPr>
          <w:rFonts w:ascii="Century Gothic" w:hAnsi="Century Gothic" w:cs="Calibri"/>
        </w:rPr>
        <w:t>Initial induction process</w:t>
      </w:r>
    </w:p>
    <w:p w14:paraId="1226CBFD" w14:textId="77777777" w:rsidR="007112E0" w:rsidRPr="007112E0" w:rsidRDefault="007112E0" w:rsidP="007112E0">
      <w:pPr>
        <w:pStyle w:val="ListParagraph"/>
        <w:numPr>
          <w:ilvl w:val="0"/>
          <w:numId w:val="2"/>
        </w:numPr>
        <w:jc w:val="both"/>
        <w:rPr>
          <w:rFonts w:ascii="Century Gothic" w:hAnsi="Century Gothic" w:cs="Calibri"/>
        </w:rPr>
      </w:pPr>
      <w:r w:rsidRPr="007112E0">
        <w:rPr>
          <w:rFonts w:ascii="Century Gothic" w:hAnsi="Century Gothic" w:cs="Calibri"/>
        </w:rPr>
        <w:lastRenderedPageBreak/>
        <w:t>Dedicated Quality Officer</w:t>
      </w:r>
    </w:p>
    <w:p w14:paraId="756C5142" w14:textId="77777777" w:rsidR="007112E0" w:rsidRPr="007112E0" w:rsidRDefault="007112E0" w:rsidP="007112E0">
      <w:pPr>
        <w:pStyle w:val="ListParagraph"/>
        <w:numPr>
          <w:ilvl w:val="0"/>
          <w:numId w:val="3"/>
        </w:numPr>
        <w:jc w:val="both"/>
        <w:rPr>
          <w:rFonts w:ascii="Century Gothic" w:hAnsi="Century Gothic" w:cs="Calibri"/>
        </w:rPr>
      </w:pPr>
      <w:r w:rsidRPr="007112E0">
        <w:rPr>
          <w:rFonts w:ascii="Century Gothic" w:hAnsi="Century Gothic" w:cs="Calibri"/>
        </w:rPr>
        <w:t xml:space="preserve">Quality Cycle support, including development of individual partner Quality Cycle mapped to Partner SAR and QDP </w:t>
      </w:r>
    </w:p>
    <w:p w14:paraId="577636D7" w14:textId="77777777" w:rsidR="007112E0" w:rsidRPr="007112E0" w:rsidRDefault="007112E0" w:rsidP="007112E0">
      <w:pPr>
        <w:pStyle w:val="ListParagraph"/>
        <w:numPr>
          <w:ilvl w:val="0"/>
          <w:numId w:val="3"/>
        </w:numPr>
        <w:jc w:val="both"/>
        <w:rPr>
          <w:rFonts w:ascii="Century Gothic" w:hAnsi="Century Gothic" w:cs="Calibri"/>
        </w:rPr>
      </w:pPr>
      <w:r w:rsidRPr="007112E0">
        <w:rPr>
          <w:rFonts w:ascii="Century Gothic" w:hAnsi="Century Gothic" w:cs="Calibri"/>
        </w:rPr>
        <w:t>Good Practice/Working groups</w:t>
      </w:r>
    </w:p>
    <w:p w14:paraId="6D22C0E0" w14:textId="77777777" w:rsidR="007112E0" w:rsidRPr="007112E0" w:rsidRDefault="007112E0" w:rsidP="007112E0">
      <w:pPr>
        <w:pStyle w:val="ListParagraph"/>
        <w:numPr>
          <w:ilvl w:val="0"/>
          <w:numId w:val="3"/>
        </w:numPr>
        <w:jc w:val="both"/>
        <w:rPr>
          <w:rFonts w:ascii="Century Gothic" w:hAnsi="Century Gothic" w:cs="Calibri"/>
        </w:rPr>
      </w:pPr>
      <w:r w:rsidRPr="007112E0">
        <w:rPr>
          <w:rFonts w:ascii="Century Gothic" w:hAnsi="Century Gothic" w:cs="Calibri"/>
        </w:rPr>
        <w:t>Compliance audits</w:t>
      </w:r>
    </w:p>
    <w:p w14:paraId="694E4B5B" w14:textId="77777777" w:rsidR="007112E0" w:rsidRPr="007112E0" w:rsidRDefault="007112E0" w:rsidP="007112E0">
      <w:pPr>
        <w:pStyle w:val="ListParagraph"/>
        <w:numPr>
          <w:ilvl w:val="0"/>
          <w:numId w:val="3"/>
        </w:numPr>
        <w:jc w:val="both"/>
        <w:rPr>
          <w:rFonts w:ascii="Century Gothic" w:hAnsi="Century Gothic" w:cs="Calibri"/>
        </w:rPr>
      </w:pPr>
      <w:r w:rsidRPr="007112E0">
        <w:rPr>
          <w:rFonts w:ascii="Century Gothic" w:hAnsi="Century Gothic" w:cs="Calibri"/>
        </w:rPr>
        <w:t>Data Administration processing/support</w:t>
      </w:r>
    </w:p>
    <w:p w14:paraId="7BADD72B" w14:textId="77777777" w:rsidR="007112E0" w:rsidRPr="007112E0" w:rsidRDefault="007112E0" w:rsidP="007112E0">
      <w:pPr>
        <w:pStyle w:val="ListParagraph"/>
        <w:numPr>
          <w:ilvl w:val="0"/>
          <w:numId w:val="3"/>
        </w:numPr>
        <w:jc w:val="both"/>
        <w:rPr>
          <w:rFonts w:ascii="Century Gothic" w:hAnsi="Century Gothic" w:cs="Calibri"/>
        </w:rPr>
      </w:pPr>
      <w:r w:rsidRPr="007112E0">
        <w:rPr>
          <w:rFonts w:ascii="Century Gothic" w:hAnsi="Century Gothic" w:cs="Calibri"/>
        </w:rPr>
        <w:t>Checking learner eligibility</w:t>
      </w:r>
    </w:p>
    <w:p w14:paraId="57248927" w14:textId="77777777" w:rsidR="007112E0" w:rsidRPr="007112E0" w:rsidRDefault="007112E0" w:rsidP="007112E0">
      <w:pPr>
        <w:pStyle w:val="ListParagraph"/>
        <w:numPr>
          <w:ilvl w:val="0"/>
          <w:numId w:val="3"/>
        </w:numPr>
        <w:jc w:val="both"/>
        <w:rPr>
          <w:rFonts w:ascii="Century Gothic" w:hAnsi="Century Gothic" w:cs="Calibri"/>
        </w:rPr>
      </w:pPr>
      <w:r w:rsidRPr="007112E0">
        <w:rPr>
          <w:rFonts w:ascii="Century Gothic" w:hAnsi="Century Gothic" w:cs="Calibri"/>
        </w:rPr>
        <w:t>Compile monthly returns for funding bodies</w:t>
      </w:r>
    </w:p>
    <w:p w14:paraId="2FAE72D0" w14:textId="77777777" w:rsidR="007112E0" w:rsidRPr="007112E0" w:rsidRDefault="007112E0" w:rsidP="007112E0">
      <w:pPr>
        <w:pStyle w:val="ListParagraph"/>
        <w:numPr>
          <w:ilvl w:val="0"/>
          <w:numId w:val="3"/>
        </w:numPr>
        <w:jc w:val="both"/>
        <w:rPr>
          <w:rFonts w:ascii="Century Gothic" w:hAnsi="Century Gothic" w:cs="Calibri"/>
        </w:rPr>
      </w:pPr>
      <w:r w:rsidRPr="007112E0">
        <w:rPr>
          <w:rFonts w:ascii="Century Gothic" w:hAnsi="Century Gothic" w:cs="Calibri"/>
        </w:rPr>
        <w:t>Self-Assessment &amp; QDP Report – analysis and support</w:t>
      </w:r>
    </w:p>
    <w:p w14:paraId="527760A4" w14:textId="77777777" w:rsidR="007112E0" w:rsidRPr="007112E0" w:rsidRDefault="007112E0" w:rsidP="007112E0">
      <w:pPr>
        <w:pStyle w:val="ListParagraph"/>
        <w:numPr>
          <w:ilvl w:val="0"/>
          <w:numId w:val="3"/>
        </w:numPr>
        <w:jc w:val="both"/>
        <w:rPr>
          <w:rFonts w:ascii="Century Gothic" w:hAnsi="Century Gothic" w:cs="Calibri"/>
        </w:rPr>
      </w:pPr>
      <w:proofErr w:type="spellStart"/>
      <w:r w:rsidRPr="007112E0">
        <w:rPr>
          <w:rFonts w:ascii="Century Gothic" w:hAnsi="Century Gothic" w:cs="Calibri"/>
        </w:rPr>
        <w:t>Maytas</w:t>
      </w:r>
      <w:proofErr w:type="spellEnd"/>
      <w:r w:rsidRPr="007112E0">
        <w:rPr>
          <w:rFonts w:ascii="Century Gothic" w:hAnsi="Century Gothic" w:cs="Calibri"/>
        </w:rPr>
        <w:t xml:space="preserve"> system licences (if required)</w:t>
      </w:r>
    </w:p>
    <w:p w14:paraId="48C34D91" w14:textId="77777777" w:rsidR="007112E0" w:rsidRPr="007112E0" w:rsidRDefault="007112E0" w:rsidP="007112E0">
      <w:pPr>
        <w:pStyle w:val="ListParagraph"/>
        <w:numPr>
          <w:ilvl w:val="0"/>
          <w:numId w:val="3"/>
        </w:numPr>
        <w:jc w:val="both"/>
        <w:rPr>
          <w:rFonts w:ascii="Century Gothic" w:hAnsi="Century Gothic" w:cs="Calibri"/>
        </w:rPr>
      </w:pPr>
      <w:r w:rsidRPr="007112E0">
        <w:rPr>
          <w:rFonts w:ascii="Century Gothic" w:hAnsi="Century Gothic" w:cs="Calibri"/>
        </w:rPr>
        <w:t>Information Security (if required)</w:t>
      </w:r>
    </w:p>
    <w:p w14:paraId="0783934A" w14:textId="77777777" w:rsidR="007112E0" w:rsidRPr="007112E0" w:rsidRDefault="007112E0" w:rsidP="007112E0">
      <w:pPr>
        <w:pStyle w:val="ListParagraph"/>
        <w:numPr>
          <w:ilvl w:val="0"/>
          <w:numId w:val="3"/>
        </w:numPr>
        <w:jc w:val="both"/>
        <w:rPr>
          <w:rFonts w:ascii="Century Gothic" w:hAnsi="Century Gothic" w:cs="Calibri"/>
        </w:rPr>
      </w:pPr>
      <w:r w:rsidRPr="007112E0">
        <w:rPr>
          <w:rFonts w:ascii="Century Gothic" w:hAnsi="Century Gothic" w:cs="Calibri"/>
        </w:rPr>
        <w:t>Health &amp; Safety support and guidance</w:t>
      </w:r>
    </w:p>
    <w:p w14:paraId="5DB628AA" w14:textId="77777777" w:rsidR="007112E0" w:rsidRPr="007112E0" w:rsidRDefault="007112E0" w:rsidP="007112E0">
      <w:pPr>
        <w:pStyle w:val="ListParagraph"/>
        <w:numPr>
          <w:ilvl w:val="0"/>
          <w:numId w:val="3"/>
        </w:numPr>
        <w:jc w:val="both"/>
        <w:rPr>
          <w:rFonts w:ascii="Century Gothic" w:hAnsi="Century Gothic" w:cs="Calibri"/>
        </w:rPr>
      </w:pPr>
      <w:r w:rsidRPr="007112E0">
        <w:rPr>
          <w:rFonts w:ascii="Century Gothic" w:hAnsi="Century Gothic" w:cs="Calibri"/>
        </w:rPr>
        <w:t>Safeguarding/Prevent support and guidance</w:t>
      </w:r>
    </w:p>
    <w:p w14:paraId="3042F719" w14:textId="77777777" w:rsidR="007112E0" w:rsidRPr="007112E0" w:rsidRDefault="007112E0" w:rsidP="007112E0">
      <w:pPr>
        <w:pStyle w:val="ListParagraph"/>
        <w:numPr>
          <w:ilvl w:val="0"/>
          <w:numId w:val="3"/>
        </w:numPr>
        <w:jc w:val="both"/>
        <w:rPr>
          <w:rFonts w:ascii="Century Gothic" w:hAnsi="Century Gothic" w:cs="Calibri"/>
        </w:rPr>
      </w:pPr>
      <w:r w:rsidRPr="007112E0">
        <w:rPr>
          <w:rFonts w:ascii="Century Gothic" w:hAnsi="Century Gothic" w:cs="Calibri"/>
        </w:rPr>
        <w:t>Staff Training and Development</w:t>
      </w:r>
    </w:p>
    <w:p w14:paraId="140E3ECB" w14:textId="77777777" w:rsidR="007112E0" w:rsidRPr="007112E0" w:rsidRDefault="007112E0" w:rsidP="007112E0">
      <w:pPr>
        <w:pStyle w:val="ListParagraph"/>
        <w:numPr>
          <w:ilvl w:val="0"/>
          <w:numId w:val="3"/>
        </w:numPr>
        <w:jc w:val="both"/>
        <w:rPr>
          <w:rFonts w:ascii="Century Gothic" w:hAnsi="Century Gothic" w:cs="Calibri"/>
        </w:rPr>
      </w:pPr>
      <w:r w:rsidRPr="007112E0">
        <w:rPr>
          <w:rFonts w:ascii="Century Gothic" w:hAnsi="Century Gothic" w:cs="Calibri"/>
        </w:rPr>
        <w:t xml:space="preserve">Provide access to </w:t>
      </w:r>
      <w:proofErr w:type="spellStart"/>
      <w:r w:rsidRPr="007112E0">
        <w:rPr>
          <w:rFonts w:ascii="Century Gothic" w:hAnsi="Century Gothic" w:cs="Calibri"/>
        </w:rPr>
        <w:t>Skillgate</w:t>
      </w:r>
      <w:proofErr w:type="spellEnd"/>
      <w:r w:rsidRPr="007112E0">
        <w:rPr>
          <w:rFonts w:ascii="Century Gothic" w:hAnsi="Century Gothic" w:cs="Calibri"/>
        </w:rPr>
        <w:t xml:space="preserve"> modules</w:t>
      </w:r>
    </w:p>
    <w:p w14:paraId="018BBAE1" w14:textId="77777777" w:rsidR="007112E0" w:rsidRPr="007112E0" w:rsidRDefault="007112E0" w:rsidP="007112E0">
      <w:pPr>
        <w:pStyle w:val="ListParagraph"/>
        <w:numPr>
          <w:ilvl w:val="0"/>
          <w:numId w:val="3"/>
        </w:numPr>
        <w:jc w:val="both"/>
        <w:rPr>
          <w:rFonts w:ascii="Century Gothic" w:hAnsi="Century Gothic" w:cs="Calibri"/>
        </w:rPr>
      </w:pPr>
      <w:r w:rsidRPr="007112E0">
        <w:rPr>
          <w:rFonts w:ascii="Century Gothic" w:hAnsi="Century Gothic" w:cs="Calibri"/>
        </w:rPr>
        <w:t>Co-ordinate QSA Management and Quality Meetings</w:t>
      </w:r>
    </w:p>
    <w:p w14:paraId="688D0800" w14:textId="77777777" w:rsidR="007112E0" w:rsidRPr="007112E0" w:rsidRDefault="007112E0" w:rsidP="007112E0">
      <w:pPr>
        <w:pStyle w:val="ListParagraph"/>
        <w:numPr>
          <w:ilvl w:val="0"/>
          <w:numId w:val="3"/>
        </w:numPr>
        <w:jc w:val="both"/>
        <w:rPr>
          <w:rFonts w:ascii="Century Gothic" w:hAnsi="Century Gothic" w:cs="Calibri"/>
        </w:rPr>
      </w:pPr>
      <w:r w:rsidRPr="007112E0">
        <w:rPr>
          <w:rFonts w:ascii="Century Gothic" w:hAnsi="Century Gothic" w:cs="Calibri"/>
        </w:rPr>
        <w:t>Conduct and co-ordinate Learner Voice annual survey and analysis</w:t>
      </w:r>
    </w:p>
    <w:p w14:paraId="0578E609" w14:textId="77777777" w:rsidR="007112E0" w:rsidRPr="007112E0" w:rsidRDefault="007112E0" w:rsidP="007112E0">
      <w:pPr>
        <w:pStyle w:val="ListParagraph"/>
        <w:numPr>
          <w:ilvl w:val="0"/>
          <w:numId w:val="3"/>
        </w:numPr>
        <w:jc w:val="both"/>
        <w:rPr>
          <w:rFonts w:ascii="Century Gothic" w:hAnsi="Century Gothic" w:cs="Calibri"/>
        </w:rPr>
      </w:pPr>
      <w:r w:rsidRPr="007112E0">
        <w:rPr>
          <w:rFonts w:ascii="Century Gothic" w:hAnsi="Century Gothic" w:cs="Calibri"/>
        </w:rPr>
        <w:t>Thematic Champions</w:t>
      </w:r>
    </w:p>
    <w:p w14:paraId="0A1D93C8" w14:textId="77777777" w:rsidR="007112E0" w:rsidRPr="007112E0" w:rsidRDefault="007112E0" w:rsidP="007112E0">
      <w:pPr>
        <w:pStyle w:val="ListParagraph"/>
        <w:numPr>
          <w:ilvl w:val="0"/>
          <w:numId w:val="3"/>
        </w:numPr>
        <w:jc w:val="both"/>
        <w:rPr>
          <w:rFonts w:ascii="Century Gothic" w:hAnsi="Century Gothic" w:cs="Calibri"/>
        </w:rPr>
      </w:pPr>
      <w:r w:rsidRPr="007112E0">
        <w:rPr>
          <w:rFonts w:ascii="Century Gothic" w:hAnsi="Century Gothic" w:cs="Calibri"/>
        </w:rPr>
        <w:t>Take lead provider role for Estyn Inspections</w:t>
      </w:r>
    </w:p>
    <w:p w14:paraId="310C9D8E" w14:textId="77777777" w:rsidR="00773807" w:rsidRDefault="00773807"/>
    <w:sectPr w:rsidR="00773807" w:rsidSect="008140CE">
      <w:headerReference w:type="default" r:id="rId7"/>
      <w:pgSz w:w="11900" w:h="16840"/>
      <w:pgMar w:top="2552" w:right="703"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73A63" w14:textId="77777777" w:rsidR="00C24EBB" w:rsidRDefault="00C24EBB" w:rsidP="00EC009F">
      <w:pPr>
        <w:spacing w:after="0"/>
      </w:pPr>
      <w:r>
        <w:separator/>
      </w:r>
    </w:p>
  </w:endnote>
  <w:endnote w:type="continuationSeparator" w:id="0">
    <w:p w14:paraId="1A7A8B12" w14:textId="77777777" w:rsidR="00C24EBB" w:rsidRDefault="00C24EBB" w:rsidP="00EC00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E6A0B" w14:textId="77777777" w:rsidR="00C24EBB" w:rsidRDefault="00C24EBB" w:rsidP="00EC009F">
      <w:pPr>
        <w:spacing w:after="0"/>
      </w:pPr>
      <w:r>
        <w:separator/>
      </w:r>
    </w:p>
  </w:footnote>
  <w:footnote w:type="continuationSeparator" w:id="0">
    <w:p w14:paraId="3D8265A9" w14:textId="77777777" w:rsidR="00C24EBB" w:rsidRDefault="00C24EBB" w:rsidP="00EC00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8BDF5" w14:textId="0DB863B5" w:rsidR="00EC009F" w:rsidRDefault="00FC4FC4">
    <w:pPr>
      <w:pStyle w:val="Header"/>
    </w:pPr>
    <w:r>
      <w:rPr>
        <w:rFonts w:hint="eastAsia"/>
        <w:noProof/>
        <w:lang w:eastAsia="en-US"/>
      </w:rPr>
      <w:drawing>
        <wp:anchor distT="0" distB="0" distL="114300" distR="114300" simplePos="0" relativeHeight="251658240" behindDoc="1" locked="0" layoutInCell="1" allowOverlap="1" wp14:anchorId="21A8F9A6" wp14:editId="36E79D7E">
          <wp:simplePos x="0" y="0"/>
          <wp:positionH relativeFrom="column">
            <wp:posOffset>-1140460</wp:posOffset>
          </wp:positionH>
          <wp:positionV relativeFrom="paragraph">
            <wp:posOffset>-447040</wp:posOffset>
          </wp:positionV>
          <wp:extent cx="7559040" cy="10692384"/>
          <wp:effectExtent l="0" t="0" r="0" b="0"/>
          <wp:wrapNone/>
          <wp:docPr id="3" name="Picture 3" descr="Work in Progress:J15619 CAVC Update Letterhead:png:J15428 CAVC Letterhead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in Progress:J15619 CAVC Update Letterhead:png:J15428 CAVC Letterheads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66037"/>
    <w:multiLevelType w:val="hybridMultilevel"/>
    <w:tmpl w:val="E87C6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DF3720"/>
    <w:multiLevelType w:val="hybridMultilevel"/>
    <w:tmpl w:val="E522DE6E"/>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2" w15:restartNumberingAfterBreak="0">
    <w:nsid w:val="52EE4ADB"/>
    <w:multiLevelType w:val="hybridMultilevel"/>
    <w:tmpl w:val="F61E9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9F"/>
    <w:rsid w:val="001B37ED"/>
    <w:rsid w:val="00281235"/>
    <w:rsid w:val="002B0048"/>
    <w:rsid w:val="007112E0"/>
    <w:rsid w:val="00773807"/>
    <w:rsid w:val="008140CE"/>
    <w:rsid w:val="00C24EBB"/>
    <w:rsid w:val="00C7406E"/>
    <w:rsid w:val="00EC009F"/>
    <w:rsid w:val="00FC4F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83B7A8"/>
  <w15:docId w15:val="{38DECFA6-A89C-4763-A3AE-AAADB4D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09F"/>
    <w:pPr>
      <w:tabs>
        <w:tab w:val="center" w:pos="4320"/>
        <w:tab w:val="right" w:pos="8640"/>
      </w:tabs>
      <w:spacing w:after="0"/>
    </w:pPr>
  </w:style>
  <w:style w:type="character" w:customStyle="1" w:styleId="HeaderChar">
    <w:name w:val="Header Char"/>
    <w:basedOn w:val="DefaultParagraphFont"/>
    <w:link w:val="Header"/>
    <w:uiPriority w:val="99"/>
    <w:rsid w:val="00EC009F"/>
  </w:style>
  <w:style w:type="paragraph" w:styleId="Footer">
    <w:name w:val="footer"/>
    <w:basedOn w:val="Normal"/>
    <w:link w:val="FooterChar"/>
    <w:uiPriority w:val="99"/>
    <w:unhideWhenUsed/>
    <w:rsid w:val="00EC009F"/>
    <w:pPr>
      <w:tabs>
        <w:tab w:val="center" w:pos="4320"/>
        <w:tab w:val="right" w:pos="8640"/>
      </w:tabs>
      <w:spacing w:after="0"/>
    </w:pPr>
  </w:style>
  <w:style w:type="character" w:customStyle="1" w:styleId="FooterChar">
    <w:name w:val="Footer Char"/>
    <w:basedOn w:val="DefaultParagraphFont"/>
    <w:link w:val="Footer"/>
    <w:uiPriority w:val="99"/>
    <w:rsid w:val="00EC009F"/>
  </w:style>
  <w:style w:type="paragraph" w:styleId="BalloonText">
    <w:name w:val="Balloon Text"/>
    <w:basedOn w:val="Normal"/>
    <w:link w:val="BalloonTextChar"/>
    <w:uiPriority w:val="99"/>
    <w:semiHidden/>
    <w:unhideWhenUsed/>
    <w:rsid w:val="00EC009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09F"/>
    <w:rPr>
      <w:rFonts w:ascii="Lucida Grande" w:hAnsi="Lucida Grande" w:cs="Lucida Grande"/>
      <w:sz w:val="18"/>
      <w:szCs w:val="18"/>
    </w:rPr>
  </w:style>
  <w:style w:type="paragraph" w:styleId="ListParagraph">
    <w:name w:val="List Paragraph"/>
    <w:basedOn w:val="Normal"/>
    <w:uiPriority w:val="34"/>
    <w:qFormat/>
    <w:rsid w:val="007112E0"/>
    <w:pPr>
      <w:spacing w:line="276" w:lineRule="auto"/>
      <w:ind w:left="720"/>
      <w:contextualSpacing/>
    </w:pPr>
    <w:rPr>
      <w:rFonts w:eastAsiaTheme="minorHAns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8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LGT</dc:creator>
  <cp:keywords/>
  <dc:description/>
  <cp:lastModifiedBy>Sarah Davies</cp:lastModifiedBy>
  <cp:revision>2</cp:revision>
  <dcterms:created xsi:type="dcterms:W3CDTF">2022-03-21T10:43:00Z</dcterms:created>
  <dcterms:modified xsi:type="dcterms:W3CDTF">2022-03-21T10:43:00Z</dcterms:modified>
</cp:coreProperties>
</file>